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0E" w:rsidRDefault="00520F0E" w:rsidP="00520F0E">
      <w:pPr>
        <w:bidi/>
        <w:ind w:left="1199"/>
        <w:jc w:val="right"/>
        <w:rPr>
          <w:rtl/>
        </w:rPr>
      </w:pPr>
      <w:r>
        <w:rPr>
          <w:rFonts w:hint="eastAsia"/>
          <w:rtl/>
        </w:rPr>
        <w:t>‏</w:t>
      </w:r>
      <w:r w:rsidRPr="00184783">
        <w:rPr>
          <w:rFonts w:cs="David" w:hint="eastAsia"/>
          <w:rtl/>
        </w:rPr>
        <w:t>יום </w:t>
      </w:r>
      <w:r>
        <w:rPr>
          <w:rFonts w:cs="David" w:hint="cs"/>
          <w:rtl/>
        </w:rPr>
        <w:t>חמישי 19 ביוני</w:t>
      </w:r>
      <w:r>
        <w:rPr>
          <w:rFonts w:hint="cs"/>
          <w:rtl/>
        </w:rPr>
        <w:t xml:space="preserve"> </w:t>
      </w:r>
      <w:r>
        <w:rPr>
          <w:rtl/>
        </w:rPr>
        <w:t>2008</w:t>
      </w:r>
    </w:p>
    <w:p w:rsidR="00520F0E" w:rsidRDefault="00520F0E" w:rsidP="009618EE">
      <w:pPr>
        <w:bidi/>
        <w:rPr>
          <w:rtl/>
        </w:rPr>
      </w:pPr>
    </w:p>
    <w:p w:rsidR="00520F0E" w:rsidRPr="00BA096C" w:rsidRDefault="00520F0E" w:rsidP="00520F0E">
      <w:pPr>
        <w:bidi/>
        <w:ind w:left="1199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A096C">
        <w:rPr>
          <w:rFonts w:cs="David" w:hint="cs"/>
          <w:b/>
          <w:bCs/>
          <w:sz w:val="28"/>
          <w:szCs w:val="28"/>
          <w:u w:val="single"/>
          <w:rtl/>
        </w:rPr>
        <w:t>תקנון קרן מצוקה</w:t>
      </w:r>
    </w:p>
    <w:p w:rsidR="00520F0E" w:rsidRDefault="00520F0E" w:rsidP="009618EE">
      <w:pPr>
        <w:bidi/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8"/>
      </w:tblGrid>
      <w:tr w:rsidR="00520F0E" w:rsidRPr="007A7424" w:rsidTr="004102DA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20F0E" w:rsidRPr="008375E6" w:rsidRDefault="00520F0E" w:rsidP="00520F0E">
            <w:pPr>
              <w:pStyle w:val="a6"/>
              <w:bidi/>
              <w:spacing w:line="360" w:lineRule="auto"/>
              <w:ind w:left="0"/>
              <w:rPr>
                <w:rFonts w:cs="David"/>
                <w:rtl/>
              </w:rPr>
            </w:pPr>
            <w:r w:rsidRPr="009618EE">
              <w:rPr>
                <w:rFonts w:cs="David" w:hint="cs"/>
                <w:rtl/>
              </w:rPr>
              <w:t xml:space="preserve">1. </w:t>
            </w:r>
            <w:r w:rsidRPr="008375E6">
              <w:rPr>
                <w:rFonts w:cs="David" w:hint="cs"/>
                <w:u w:val="single"/>
                <w:rtl/>
              </w:rPr>
              <w:t>הקרן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</w:rPr>
            </w:pPr>
            <w:r w:rsidRPr="007A7424">
              <w:rPr>
                <w:rFonts w:cs="David" w:hint="cs"/>
                <w:rtl/>
              </w:rPr>
              <w:t xml:space="preserve"> סיוע לעובדים במצוקה </w:t>
            </w:r>
            <w:r>
              <w:rPr>
                <w:rFonts w:cs="David" w:hint="cs"/>
                <w:rtl/>
              </w:rPr>
              <w:t xml:space="preserve">של </w:t>
            </w:r>
            <w:r w:rsidRPr="007A7424">
              <w:rPr>
                <w:rFonts w:cs="David" w:hint="cs"/>
                <w:rtl/>
              </w:rPr>
              <w:t xml:space="preserve"> ועד ארגון הסגל המנהלי.</w:t>
            </w:r>
          </w:p>
        </w:tc>
      </w:tr>
      <w:tr w:rsidR="00520F0E" w:rsidRPr="007A7424" w:rsidTr="004102DA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20F0E" w:rsidRPr="008375E6" w:rsidRDefault="00520F0E" w:rsidP="00520F0E">
            <w:pPr>
              <w:pStyle w:val="a6"/>
              <w:bidi/>
              <w:spacing w:line="360" w:lineRule="auto"/>
              <w:ind w:left="0"/>
              <w:rPr>
                <w:rFonts w:cs="David"/>
                <w:u w:val="single"/>
                <w:rtl/>
              </w:rPr>
            </w:pPr>
            <w:r w:rsidRPr="009618EE">
              <w:rPr>
                <w:rFonts w:cs="David" w:hint="cs"/>
                <w:rtl/>
              </w:rPr>
              <w:t>2.</w:t>
            </w:r>
            <w:r>
              <w:rPr>
                <w:rFonts w:cs="David" w:hint="cs"/>
                <w:u w:val="single"/>
                <w:rtl/>
              </w:rPr>
              <w:t xml:space="preserve"> </w:t>
            </w:r>
            <w:r w:rsidRPr="008375E6">
              <w:rPr>
                <w:rFonts w:cs="David" w:hint="cs"/>
                <w:u w:val="single"/>
                <w:rtl/>
              </w:rPr>
              <w:t>ייעוד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</w:rPr>
            </w:pPr>
            <w:r w:rsidRPr="007A7424">
              <w:rPr>
                <w:rFonts w:cs="David" w:hint="cs"/>
                <w:rtl/>
              </w:rPr>
              <w:t>הקרן מיועדת לתמיכה בעובדים, אשר נקלעו למצוקה קשה</w:t>
            </w:r>
            <w:r>
              <w:rPr>
                <w:rFonts w:cs="David" w:hint="cs"/>
                <w:rtl/>
              </w:rPr>
              <w:t>.</w:t>
            </w:r>
          </w:p>
        </w:tc>
      </w:tr>
      <w:tr w:rsidR="00520F0E" w:rsidRPr="007A7424" w:rsidTr="004102DA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20F0E" w:rsidRPr="008375E6" w:rsidRDefault="00520F0E" w:rsidP="00520F0E">
            <w:pPr>
              <w:pStyle w:val="a6"/>
              <w:bidi/>
              <w:spacing w:line="360" w:lineRule="auto"/>
              <w:ind w:left="0"/>
              <w:rPr>
                <w:rFonts w:cs="David"/>
                <w:u w:val="single"/>
                <w:rtl/>
              </w:rPr>
            </w:pPr>
            <w:r w:rsidRPr="009618EE">
              <w:rPr>
                <w:rFonts w:cs="David" w:hint="cs"/>
                <w:rtl/>
              </w:rPr>
              <w:t xml:space="preserve">3. </w:t>
            </w:r>
            <w:r w:rsidRPr="008375E6">
              <w:rPr>
                <w:rFonts w:cs="David" w:hint="cs"/>
                <w:u w:val="single"/>
                <w:rtl/>
              </w:rPr>
              <w:t xml:space="preserve">מטרה 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</w:rPr>
            </w:pPr>
            <w:r w:rsidRPr="007A7424">
              <w:rPr>
                <w:rFonts w:cs="David" w:hint="cs"/>
                <w:rtl/>
              </w:rPr>
              <w:t>לסייע לעובדים שנקלעו למצוקה</w:t>
            </w:r>
            <w:r>
              <w:rPr>
                <w:rFonts w:cs="David" w:hint="cs"/>
                <w:rtl/>
              </w:rPr>
              <w:t>, עפ"י הקריטריונים שהוגדרו.</w:t>
            </w:r>
          </w:p>
        </w:tc>
      </w:tr>
      <w:tr w:rsidR="00520F0E" w:rsidRPr="007A7424" w:rsidTr="004102DA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20F0E" w:rsidRPr="008375E6" w:rsidRDefault="00520F0E" w:rsidP="00520F0E">
            <w:pPr>
              <w:pStyle w:val="a6"/>
              <w:bidi/>
              <w:spacing w:line="360" w:lineRule="auto"/>
              <w:ind w:left="0"/>
              <w:rPr>
                <w:rFonts w:cs="David"/>
                <w:rtl/>
              </w:rPr>
            </w:pPr>
            <w:r w:rsidRPr="009618EE">
              <w:rPr>
                <w:rFonts w:cs="David" w:hint="cs"/>
                <w:rtl/>
              </w:rPr>
              <w:t>4.</w:t>
            </w:r>
            <w:r>
              <w:rPr>
                <w:rFonts w:cs="David" w:hint="cs"/>
                <w:u w:val="single"/>
                <w:rtl/>
              </w:rPr>
              <w:t xml:space="preserve"> </w:t>
            </w:r>
            <w:r w:rsidRPr="008375E6">
              <w:rPr>
                <w:rFonts w:cs="David" w:hint="cs"/>
                <w:u w:val="single"/>
                <w:rtl/>
              </w:rPr>
              <w:t>זכאים</w:t>
            </w:r>
            <w:r w:rsidRPr="008375E6">
              <w:rPr>
                <w:rFonts w:cs="David" w:hint="cs"/>
                <w:rtl/>
              </w:rPr>
              <w:t xml:space="preserve"> 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</w:rPr>
            </w:pPr>
            <w:r w:rsidRPr="007A7424">
              <w:rPr>
                <w:rFonts w:cs="David" w:hint="cs"/>
                <w:rtl/>
              </w:rPr>
              <w:t>עובדי סגל מנהלי (קבוע, זמני</w:t>
            </w:r>
            <w:r>
              <w:rPr>
                <w:rFonts w:cs="David" w:hint="cs"/>
                <w:rtl/>
              </w:rPr>
              <w:t xml:space="preserve">, </w:t>
            </w:r>
            <w:r w:rsidRPr="007A7424">
              <w:rPr>
                <w:rFonts w:cs="David" w:hint="cs"/>
                <w:rtl/>
              </w:rPr>
              <w:t>חוזי ) אשר מועסקים באוניברסיטת חיפה מעל שנתיים וחברים בו</w:t>
            </w:r>
            <w:r>
              <w:rPr>
                <w:rFonts w:cs="David" w:hint="cs"/>
                <w:rtl/>
              </w:rPr>
              <w:t>ו</w:t>
            </w:r>
            <w:r w:rsidRPr="007A7424">
              <w:rPr>
                <w:rFonts w:cs="David" w:hint="cs"/>
                <w:rtl/>
              </w:rPr>
              <w:t>עד ארגון סגל מנהלי.</w:t>
            </w:r>
          </w:p>
        </w:tc>
      </w:tr>
      <w:tr w:rsidR="00520F0E" w:rsidRPr="007A7424" w:rsidTr="004102DA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20F0E" w:rsidRPr="008375E6" w:rsidRDefault="00520F0E" w:rsidP="00520F0E">
            <w:pPr>
              <w:pStyle w:val="a6"/>
              <w:bidi/>
              <w:spacing w:line="360" w:lineRule="auto"/>
              <w:ind w:left="0"/>
              <w:rPr>
                <w:rFonts w:cs="David"/>
                <w:rtl/>
              </w:rPr>
            </w:pPr>
            <w:r w:rsidRPr="009618EE">
              <w:rPr>
                <w:rFonts w:cs="David" w:hint="cs"/>
                <w:rtl/>
              </w:rPr>
              <w:t xml:space="preserve">5. </w:t>
            </w:r>
            <w:r w:rsidRPr="008375E6">
              <w:rPr>
                <w:rFonts w:cs="David" w:hint="cs"/>
                <w:u w:val="single"/>
                <w:rtl/>
              </w:rPr>
              <w:t>עקרונות</w:t>
            </w:r>
            <w:r w:rsidRPr="008375E6">
              <w:rPr>
                <w:rFonts w:cs="David" w:hint="cs"/>
                <w:rtl/>
              </w:rPr>
              <w:t xml:space="preserve"> 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  <w:rtl/>
              </w:rPr>
            </w:pPr>
            <w:r w:rsidRPr="007A7424">
              <w:rPr>
                <w:rFonts w:cs="David" w:hint="cs"/>
                <w:rtl/>
              </w:rPr>
              <w:t>א. עובד שנקלע למצוקה כלכלית קשה וזקוק לסיוע דחוף, לאחר בדיק</w:t>
            </w:r>
            <w:r>
              <w:rPr>
                <w:rFonts w:cs="David" w:hint="cs"/>
                <w:rtl/>
              </w:rPr>
              <w:t xml:space="preserve">ה </w:t>
            </w:r>
            <w:r w:rsidRPr="007A742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יסודית </w:t>
            </w:r>
            <w:r w:rsidRPr="007A7424">
              <w:rPr>
                <w:rFonts w:cs="David" w:hint="cs"/>
                <w:rtl/>
              </w:rPr>
              <w:t>שאכן אין לו מקור סיוע אחר.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  <w:rtl/>
              </w:rPr>
            </w:pPr>
            <w:r w:rsidRPr="007A7424">
              <w:rPr>
                <w:rFonts w:cs="David" w:hint="cs"/>
                <w:rtl/>
              </w:rPr>
              <w:t xml:space="preserve">ב. זכאות לסיוע תבחן בעקבות בחינה </w:t>
            </w:r>
            <w:r>
              <w:rPr>
                <w:rFonts w:cs="David" w:hint="cs"/>
                <w:rtl/>
              </w:rPr>
              <w:t>של מצב העובד בהיבט כלכלי, חברתי, בריאותי, סיוע קודם מקרן המצוקה וכיו"ב.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</w:rPr>
            </w:pPr>
            <w:r w:rsidRPr="007A7424">
              <w:rPr>
                <w:rFonts w:cs="David" w:hint="cs"/>
                <w:rtl/>
              </w:rPr>
              <w:t xml:space="preserve">ג. הסיוע יינתן במקרה חריג ודחוף, בדרך של מענק חד פעמי, </w:t>
            </w:r>
            <w:r>
              <w:rPr>
                <w:rFonts w:cs="David" w:hint="cs"/>
                <w:rtl/>
              </w:rPr>
              <w:t xml:space="preserve">או </w:t>
            </w:r>
            <w:r w:rsidRPr="007A7424">
              <w:rPr>
                <w:rFonts w:cs="David" w:hint="cs"/>
                <w:rtl/>
              </w:rPr>
              <w:t>בכל דרך אחרת שתמצא הוועדה לנכון לאחר שתדון בנסיבות המקרה.</w:t>
            </w:r>
          </w:p>
        </w:tc>
      </w:tr>
      <w:tr w:rsidR="00520F0E" w:rsidRPr="007A7424" w:rsidTr="004102DA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20F0E" w:rsidRPr="008375E6" w:rsidRDefault="00520F0E" w:rsidP="00520F0E">
            <w:pPr>
              <w:pStyle w:val="a6"/>
              <w:bidi/>
              <w:spacing w:line="360" w:lineRule="auto"/>
              <w:ind w:left="0"/>
              <w:rPr>
                <w:rFonts w:cs="David"/>
                <w:rtl/>
              </w:rPr>
            </w:pPr>
            <w:r w:rsidRPr="009618EE">
              <w:rPr>
                <w:rFonts w:cs="David" w:hint="cs"/>
                <w:rtl/>
              </w:rPr>
              <w:t xml:space="preserve">6. </w:t>
            </w:r>
            <w:r w:rsidRPr="008375E6">
              <w:rPr>
                <w:rFonts w:cs="David" w:hint="cs"/>
                <w:u w:val="single"/>
                <w:rtl/>
              </w:rPr>
              <w:t>הרכב הועדה</w:t>
            </w:r>
            <w:r w:rsidRPr="008375E6">
              <w:rPr>
                <w:rFonts w:cs="David" w:hint="cs"/>
                <w:rtl/>
              </w:rPr>
              <w:t xml:space="preserve"> 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</w:rPr>
            </w:pPr>
            <w:r w:rsidRPr="007A7424">
              <w:rPr>
                <w:rFonts w:cs="David" w:hint="cs"/>
                <w:rtl/>
              </w:rPr>
              <w:t xml:space="preserve">הועדה תורכב </w:t>
            </w:r>
            <w:r>
              <w:rPr>
                <w:rFonts w:cs="David" w:hint="cs"/>
                <w:rtl/>
              </w:rPr>
              <w:t>מ</w:t>
            </w:r>
            <w:r w:rsidRPr="007A7424">
              <w:rPr>
                <w:rFonts w:cs="David" w:hint="cs"/>
                <w:rtl/>
              </w:rPr>
              <w:t>יו"ר ועד ארגון הסגל המנהלי</w:t>
            </w:r>
            <w:r>
              <w:rPr>
                <w:rFonts w:cs="David" w:hint="cs"/>
                <w:rtl/>
              </w:rPr>
              <w:t xml:space="preserve"> (מנהל הקרן) וחברי הוועד הנבחרים.</w:t>
            </w:r>
          </w:p>
        </w:tc>
      </w:tr>
      <w:tr w:rsidR="00520F0E" w:rsidRPr="007A7424" w:rsidTr="004102DA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20F0E" w:rsidRPr="008375E6" w:rsidRDefault="00520F0E" w:rsidP="00520F0E">
            <w:pPr>
              <w:pStyle w:val="a6"/>
              <w:bidi/>
              <w:spacing w:line="360" w:lineRule="auto"/>
              <w:ind w:left="0"/>
              <w:rPr>
                <w:rFonts w:cs="David"/>
                <w:rtl/>
              </w:rPr>
            </w:pPr>
            <w:r w:rsidRPr="009618EE">
              <w:rPr>
                <w:rFonts w:cs="David" w:hint="cs"/>
                <w:rtl/>
              </w:rPr>
              <w:t xml:space="preserve">7. </w:t>
            </w:r>
            <w:r w:rsidRPr="008375E6">
              <w:rPr>
                <w:rFonts w:cs="David" w:hint="cs"/>
                <w:u w:val="single"/>
                <w:rtl/>
              </w:rPr>
              <w:t>הסיוע</w:t>
            </w:r>
            <w:r w:rsidRPr="008375E6">
              <w:rPr>
                <w:rFonts w:cs="David" w:hint="cs"/>
                <w:rtl/>
              </w:rPr>
              <w:t xml:space="preserve"> 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</w:rPr>
            </w:pPr>
            <w:r w:rsidRPr="007A7424">
              <w:rPr>
                <w:rFonts w:cs="David" w:hint="cs"/>
                <w:rtl/>
              </w:rPr>
              <w:t>סיוע יכול להינתן ישירות לעובד או באמצעות גורמי  סיוע</w:t>
            </w:r>
            <w:r>
              <w:rPr>
                <w:rFonts w:cs="David" w:hint="cs"/>
                <w:rtl/>
              </w:rPr>
              <w:t xml:space="preserve"> חיצוניים או אחרים.</w:t>
            </w:r>
          </w:p>
        </w:tc>
      </w:tr>
      <w:tr w:rsidR="00520F0E" w:rsidRPr="007A7424" w:rsidTr="004102DA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20F0E" w:rsidRPr="008375E6" w:rsidRDefault="00520F0E" w:rsidP="00520F0E">
            <w:pPr>
              <w:pStyle w:val="a6"/>
              <w:bidi/>
              <w:spacing w:line="360" w:lineRule="auto"/>
              <w:ind w:left="0"/>
              <w:rPr>
                <w:rFonts w:cs="David"/>
                <w:rtl/>
              </w:rPr>
            </w:pPr>
            <w:r w:rsidRPr="009618EE">
              <w:rPr>
                <w:rFonts w:cs="David" w:hint="cs"/>
                <w:rtl/>
              </w:rPr>
              <w:t xml:space="preserve">8. </w:t>
            </w:r>
            <w:r w:rsidRPr="008375E6">
              <w:rPr>
                <w:rFonts w:cs="David" w:hint="cs"/>
                <w:u w:val="single"/>
                <w:rtl/>
              </w:rPr>
              <w:t xml:space="preserve">אופן </w:t>
            </w:r>
            <w:r>
              <w:rPr>
                <w:rFonts w:cs="David" w:hint="cs"/>
                <w:u w:val="single"/>
                <w:rtl/>
              </w:rPr>
              <w:t>ה</w:t>
            </w:r>
            <w:r w:rsidRPr="008375E6">
              <w:rPr>
                <w:rFonts w:cs="David" w:hint="cs"/>
                <w:u w:val="single"/>
                <w:rtl/>
              </w:rPr>
              <w:t>טיפול בבעיה</w:t>
            </w:r>
            <w:r w:rsidRPr="008375E6">
              <w:rPr>
                <w:rFonts w:cs="David" w:hint="cs"/>
                <w:rtl/>
              </w:rPr>
              <w:t xml:space="preserve"> </w:t>
            </w:r>
          </w:p>
          <w:p w:rsidR="00520F0E" w:rsidRPr="007A7424" w:rsidRDefault="00520F0E" w:rsidP="00520F0E">
            <w:pPr>
              <w:bidi/>
              <w:spacing w:line="360" w:lineRule="auto"/>
              <w:rPr>
                <w:rFonts w:cs="David"/>
              </w:rPr>
            </w:pPr>
            <w:r w:rsidRPr="007A7424">
              <w:rPr>
                <w:rFonts w:cs="David" w:hint="cs"/>
                <w:rtl/>
              </w:rPr>
              <w:t xml:space="preserve">בצירוף מסמכים </w:t>
            </w:r>
            <w:r>
              <w:rPr>
                <w:rFonts w:cs="David" w:hint="cs"/>
                <w:rtl/>
              </w:rPr>
              <w:t xml:space="preserve">ע"פ דרישת הוועדה. בנוסף, </w:t>
            </w:r>
            <w:r w:rsidRPr="007A7424">
              <w:rPr>
                <w:rFonts w:cs="David" w:hint="cs"/>
                <w:rtl/>
              </w:rPr>
              <w:t>הועדה תהיה זכאית לזמן עובד להופיע בפניה</w:t>
            </w:r>
            <w:r>
              <w:rPr>
                <w:rFonts w:cs="David" w:hint="cs"/>
                <w:rtl/>
              </w:rPr>
              <w:t xml:space="preserve"> ולשטוח טענותיו.</w:t>
            </w:r>
          </w:p>
        </w:tc>
      </w:tr>
      <w:tr w:rsidR="00520F0E" w:rsidRPr="007A7424" w:rsidTr="004102DA"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520F0E" w:rsidRPr="008375E6" w:rsidRDefault="00520F0E" w:rsidP="00520F0E">
            <w:pPr>
              <w:pStyle w:val="a6"/>
              <w:bidi/>
              <w:spacing w:line="360" w:lineRule="auto"/>
              <w:ind w:left="0"/>
              <w:rPr>
                <w:rFonts w:cs="David"/>
                <w:rtl/>
              </w:rPr>
            </w:pPr>
            <w:r w:rsidRPr="009618EE">
              <w:rPr>
                <w:rFonts w:cs="David" w:hint="cs"/>
                <w:rtl/>
              </w:rPr>
              <w:t>9.</w:t>
            </w:r>
            <w:r>
              <w:rPr>
                <w:rFonts w:cs="David" w:hint="cs"/>
                <w:u w:val="single"/>
                <w:rtl/>
              </w:rPr>
              <w:t xml:space="preserve"> </w:t>
            </w:r>
            <w:r w:rsidRPr="008375E6">
              <w:rPr>
                <w:rFonts w:cs="David" w:hint="cs"/>
                <w:u w:val="single"/>
                <w:rtl/>
              </w:rPr>
              <w:t>ניהול כספי</w:t>
            </w:r>
            <w:r w:rsidRPr="008375E6">
              <w:rPr>
                <w:rFonts w:cs="David" w:hint="cs"/>
                <w:rtl/>
              </w:rPr>
              <w:t xml:space="preserve"> </w:t>
            </w:r>
          </w:p>
          <w:p w:rsidR="00520F0E" w:rsidRDefault="00520F0E" w:rsidP="00520F0E">
            <w:pPr>
              <w:bidi/>
              <w:spacing w:line="360" w:lineRule="auto"/>
              <w:rPr>
                <w:rFonts w:cs="David"/>
                <w:rtl/>
              </w:rPr>
            </w:pPr>
            <w:r w:rsidRPr="007A7424">
              <w:rPr>
                <w:rFonts w:cs="David" w:hint="cs"/>
                <w:rtl/>
              </w:rPr>
              <w:t xml:space="preserve">הקרן תורכב מתמיכת האוניברסיטה </w:t>
            </w:r>
            <w:r>
              <w:rPr>
                <w:rFonts w:cs="David" w:hint="cs"/>
                <w:rtl/>
              </w:rPr>
              <w:t xml:space="preserve">( 50,000 ₪ לשנת עבודה) </w:t>
            </w:r>
            <w:r w:rsidRPr="007A7424">
              <w:rPr>
                <w:rFonts w:cs="David" w:hint="cs"/>
                <w:rtl/>
              </w:rPr>
              <w:t>ו</w:t>
            </w:r>
            <w:r>
              <w:rPr>
                <w:rFonts w:cs="David" w:hint="cs"/>
                <w:rtl/>
              </w:rPr>
              <w:t xml:space="preserve">כספי </w:t>
            </w:r>
            <w:r w:rsidRPr="007A7424">
              <w:rPr>
                <w:rFonts w:cs="David" w:hint="cs"/>
                <w:rtl/>
              </w:rPr>
              <w:t xml:space="preserve">ועד ארגון הסגל </w:t>
            </w:r>
            <w:r>
              <w:rPr>
                <w:rFonts w:cs="David" w:hint="cs"/>
                <w:rtl/>
              </w:rPr>
              <w:t xml:space="preserve">המנהלי בסך 10,000 ₪ </w:t>
            </w:r>
            <w:r w:rsidRPr="007A742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 xml:space="preserve">. </w:t>
            </w:r>
            <w:r w:rsidRPr="007A7424">
              <w:rPr>
                <w:rFonts w:cs="David" w:hint="cs"/>
                <w:rtl/>
              </w:rPr>
              <w:t>כספי הקרן ינוהלו בחשבון בנק  עצמאי של ארגון הסגל.</w:t>
            </w:r>
          </w:p>
          <w:p w:rsidR="00520F0E" w:rsidRDefault="009618EE" w:rsidP="00520F0E">
            <w:pPr>
              <w:pStyle w:val="a6"/>
              <w:bidi/>
              <w:spacing w:line="360" w:lineRule="auto"/>
              <w:ind w:left="0"/>
              <w:rPr>
                <w:rFonts w:cs="David"/>
                <w:u w:val="single"/>
              </w:rPr>
            </w:pPr>
            <w:r>
              <w:rPr>
                <w:rFonts w:cs="David" w:hint="cs"/>
                <w:u w:val="single"/>
                <w:rtl/>
              </w:rPr>
              <w:t xml:space="preserve">10. </w:t>
            </w:r>
            <w:r w:rsidR="00520F0E" w:rsidRPr="001C62C6">
              <w:rPr>
                <w:rFonts w:cs="David" w:hint="cs"/>
                <w:u w:val="single"/>
                <w:rtl/>
              </w:rPr>
              <w:t>דיווח</w:t>
            </w:r>
          </w:p>
          <w:p w:rsidR="00520F0E" w:rsidRPr="001C62C6" w:rsidRDefault="00520F0E" w:rsidP="00520F0E">
            <w:pPr>
              <w:bidi/>
              <w:spacing w:line="360" w:lineRule="auto"/>
              <w:rPr>
                <w:rFonts w:cs="David"/>
                <w:u w:val="single"/>
              </w:rPr>
            </w:pPr>
            <w:r w:rsidRPr="001C62C6">
              <w:rPr>
                <w:rFonts w:cs="David" w:hint="cs"/>
                <w:rtl/>
              </w:rPr>
              <w:t xml:space="preserve">על </w:t>
            </w:r>
            <w:r>
              <w:rPr>
                <w:rFonts w:cs="David" w:hint="cs"/>
                <w:rtl/>
              </w:rPr>
              <w:t xml:space="preserve">הנהלת </w:t>
            </w:r>
            <w:r w:rsidRPr="001C62C6">
              <w:rPr>
                <w:rFonts w:cs="David" w:hint="cs"/>
                <w:rtl/>
              </w:rPr>
              <w:t>הקרן לדווח לאחור פעמיים בשנה</w:t>
            </w:r>
            <w:r w:rsidR="00632299">
              <w:rPr>
                <w:rFonts w:cs="David" w:hint="cs"/>
                <w:rtl/>
              </w:rPr>
              <w:t xml:space="preserve"> (חודשים מרץ</w:t>
            </w:r>
            <w:r>
              <w:rPr>
                <w:rFonts w:cs="David" w:hint="cs"/>
                <w:rtl/>
              </w:rPr>
              <w:t xml:space="preserve"> וספטמבר)</w:t>
            </w:r>
            <w:r w:rsidR="00632299">
              <w:rPr>
                <w:rFonts w:cs="David" w:hint="cs"/>
                <w:rtl/>
              </w:rPr>
              <w:t xml:space="preserve"> לראש אגף משאבי אנוש</w:t>
            </w:r>
            <w:r>
              <w:rPr>
                <w:rFonts w:cs="David" w:hint="cs"/>
                <w:rtl/>
              </w:rPr>
              <w:t xml:space="preserve"> ע"פ </w:t>
            </w:r>
            <w:r w:rsidRPr="001C62C6">
              <w:rPr>
                <w:rFonts w:cs="David" w:hint="cs"/>
                <w:rtl/>
              </w:rPr>
              <w:t>הטבלה המצ"ב</w:t>
            </w:r>
            <w:r w:rsidRPr="00B94F2B">
              <w:rPr>
                <w:rFonts w:cs="David" w:hint="cs"/>
                <w:rtl/>
              </w:rPr>
              <w:t>:</w:t>
            </w:r>
          </w:p>
        </w:tc>
      </w:tr>
    </w:tbl>
    <w:p w:rsidR="00520F0E" w:rsidRDefault="00520F0E" w:rsidP="00520F0E">
      <w:pPr>
        <w:ind w:left="1199"/>
      </w:pPr>
    </w:p>
    <w:p w:rsidR="00520F0E" w:rsidRDefault="00520F0E" w:rsidP="00520F0E">
      <w:pPr>
        <w:bidi/>
        <w:rPr>
          <w:rtl/>
        </w:rPr>
      </w:pPr>
    </w:p>
    <w:p w:rsidR="00520F0E" w:rsidRDefault="00520F0E" w:rsidP="00520F0E">
      <w:pPr>
        <w:bidi/>
        <w:ind w:left="1199"/>
        <w:rPr>
          <w:rtl/>
        </w:rPr>
      </w:pPr>
    </w:p>
    <w:p w:rsidR="009618EE" w:rsidRDefault="009618EE" w:rsidP="009618EE">
      <w:pPr>
        <w:bidi/>
        <w:ind w:left="1199"/>
        <w:rPr>
          <w:rtl/>
        </w:rPr>
      </w:pPr>
    </w:p>
    <w:p w:rsidR="009618EE" w:rsidRDefault="009618EE" w:rsidP="009618EE">
      <w:pPr>
        <w:bidi/>
        <w:ind w:left="1199"/>
        <w:rPr>
          <w:rtl/>
        </w:rPr>
      </w:pPr>
    </w:p>
    <w:p w:rsidR="00520F0E" w:rsidRDefault="00520F0E" w:rsidP="00520F0E">
      <w:pPr>
        <w:bidi/>
        <w:ind w:left="1199"/>
        <w:jc w:val="center"/>
        <w:rPr>
          <w:rFonts w:cs="David"/>
          <w:sz w:val="28"/>
          <w:szCs w:val="28"/>
          <w:u w:val="single"/>
          <w:rtl/>
        </w:rPr>
      </w:pPr>
      <w:r w:rsidRPr="00277EC0">
        <w:rPr>
          <w:rFonts w:cs="David" w:hint="cs"/>
          <w:sz w:val="28"/>
          <w:szCs w:val="28"/>
          <w:u w:val="single"/>
          <w:rtl/>
        </w:rPr>
        <w:lastRenderedPageBreak/>
        <w:t>דוח דיווח דו- שנתי</w:t>
      </w:r>
    </w:p>
    <w:p w:rsidR="00520F0E" w:rsidRDefault="00520F0E" w:rsidP="00520F0E">
      <w:pPr>
        <w:bidi/>
        <w:ind w:left="1199"/>
        <w:jc w:val="center"/>
        <w:rPr>
          <w:rFonts w:cs="David"/>
          <w:sz w:val="28"/>
          <w:szCs w:val="28"/>
          <w:u w:val="single"/>
          <w:rtl/>
        </w:rPr>
      </w:pPr>
    </w:p>
    <w:p w:rsidR="00520F0E" w:rsidRDefault="00520F0E" w:rsidP="00520F0E">
      <w:pPr>
        <w:bidi/>
        <w:ind w:left="1199"/>
        <w:jc w:val="center"/>
        <w:rPr>
          <w:rFonts w:cs="David"/>
          <w:sz w:val="28"/>
          <w:szCs w:val="28"/>
          <w:u w:val="single"/>
          <w:rtl/>
        </w:rPr>
      </w:pPr>
    </w:p>
    <w:p w:rsidR="00520F0E" w:rsidRDefault="00520F0E" w:rsidP="00520F0E">
      <w:pPr>
        <w:bidi/>
        <w:ind w:left="1199"/>
        <w:jc w:val="center"/>
        <w:rPr>
          <w:rFonts w:cs="David"/>
          <w:sz w:val="28"/>
          <w:szCs w:val="28"/>
          <w:u w:val="single"/>
          <w:rtl/>
        </w:rPr>
      </w:pPr>
    </w:p>
    <w:p w:rsidR="00520F0E" w:rsidRDefault="00520F0E" w:rsidP="00520F0E">
      <w:pPr>
        <w:bidi/>
        <w:ind w:left="1199"/>
        <w:jc w:val="center"/>
        <w:rPr>
          <w:rFonts w:cs="David"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right" w:tblpY="67"/>
        <w:bidiVisual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75"/>
        <w:gridCol w:w="1134"/>
        <w:gridCol w:w="1418"/>
        <w:gridCol w:w="1418"/>
        <w:gridCol w:w="1134"/>
        <w:gridCol w:w="2693"/>
      </w:tblGrid>
      <w:tr w:rsidR="00520F0E" w:rsidTr="00520F0E">
        <w:tc>
          <w:tcPr>
            <w:tcW w:w="533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  <w:bookmarkStart w:id="0" w:name="_GoBack"/>
          </w:p>
        </w:tc>
        <w:tc>
          <w:tcPr>
            <w:tcW w:w="1275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>שם המקבל</w:t>
            </w: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 xml:space="preserve">תאריך </w:t>
            </w: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 xml:space="preserve"> סיבה </w:t>
            </w: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>קיבל בעבר</w:t>
            </w:r>
          </w:p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 xml:space="preserve">כן/לא/מתי </w:t>
            </w: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>סכום כספי</w:t>
            </w:r>
          </w:p>
        </w:tc>
        <w:tc>
          <w:tcPr>
            <w:tcW w:w="2693" w:type="dxa"/>
          </w:tcPr>
          <w:p w:rsidR="00520F0E" w:rsidRPr="00520F0E" w:rsidRDefault="00520F0E" w:rsidP="00520F0E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 xml:space="preserve">הערות: אופן התמיכה - </w:t>
            </w:r>
          </w:p>
          <w:p w:rsidR="00520F0E" w:rsidRPr="00520F0E" w:rsidRDefault="00520F0E" w:rsidP="00520F0E">
            <w:pPr>
              <w:bidi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 xml:space="preserve"> מענק, שווי כסף, אחר</w:t>
            </w:r>
          </w:p>
        </w:tc>
      </w:tr>
      <w:tr w:rsidR="00520F0E" w:rsidTr="00520F0E">
        <w:tc>
          <w:tcPr>
            <w:tcW w:w="533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>1.</w:t>
            </w:r>
          </w:p>
        </w:tc>
        <w:tc>
          <w:tcPr>
            <w:tcW w:w="1275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2693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</w:tr>
      <w:tr w:rsidR="00520F0E" w:rsidTr="00520F0E">
        <w:tc>
          <w:tcPr>
            <w:tcW w:w="533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 xml:space="preserve">2. </w:t>
            </w:r>
          </w:p>
        </w:tc>
        <w:tc>
          <w:tcPr>
            <w:tcW w:w="1275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2693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</w:tr>
      <w:tr w:rsidR="00520F0E" w:rsidTr="00520F0E">
        <w:tc>
          <w:tcPr>
            <w:tcW w:w="533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1275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2693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</w:tr>
      <w:tr w:rsidR="00520F0E" w:rsidTr="00520F0E">
        <w:tc>
          <w:tcPr>
            <w:tcW w:w="533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  <w:r w:rsidRPr="00520F0E">
              <w:rPr>
                <w:rFonts w:cs="David" w:hint="cs"/>
                <w:sz w:val="28"/>
                <w:szCs w:val="28"/>
                <w:rtl/>
              </w:rPr>
              <w:t>4.</w:t>
            </w:r>
          </w:p>
        </w:tc>
        <w:tc>
          <w:tcPr>
            <w:tcW w:w="1275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</w:p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418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  <w:tc>
          <w:tcPr>
            <w:tcW w:w="2693" w:type="dxa"/>
          </w:tcPr>
          <w:p w:rsidR="00520F0E" w:rsidRPr="00520F0E" w:rsidRDefault="00520F0E" w:rsidP="00520F0E">
            <w:pPr>
              <w:bidi/>
              <w:jc w:val="center"/>
              <w:rPr>
                <w:rFonts w:cs="David"/>
                <w:sz w:val="28"/>
                <w:szCs w:val="28"/>
                <w:u w:val="single"/>
                <w:rtl/>
              </w:rPr>
            </w:pPr>
          </w:p>
        </w:tc>
      </w:tr>
      <w:bookmarkEnd w:id="0"/>
    </w:tbl>
    <w:p w:rsidR="00520F0E" w:rsidRDefault="00520F0E" w:rsidP="00520F0E">
      <w:pPr>
        <w:bidi/>
        <w:ind w:left="1199"/>
        <w:jc w:val="center"/>
        <w:rPr>
          <w:rFonts w:cs="David"/>
          <w:sz w:val="28"/>
          <w:szCs w:val="28"/>
          <w:u w:val="single"/>
          <w:rtl/>
        </w:rPr>
      </w:pPr>
    </w:p>
    <w:p w:rsidR="00520F0E" w:rsidRDefault="00520F0E" w:rsidP="00520F0E">
      <w:pPr>
        <w:bidi/>
        <w:ind w:left="1199"/>
        <w:jc w:val="center"/>
        <w:rPr>
          <w:rFonts w:cs="David"/>
          <w:sz w:val="28"/>
          <w:szCs w:val="28"/>
          <w:u w:val="single"/>
          <w:rtl/>
        </w:rPr>
      </w:pPr>
    </w:p>
    <w:p w:rsidR="00520F0E" w:rsidRDefault="00520F0E" w:rsidP="00520F0E">
      <w:pPr>
        <w:bidi/>
        <w:ind w:left="1199"/>
        <w:jc w:val="center"/>
        <w:rPr>
          <w:rFonts w:cs="David"/>
          <w:sz w:val="28"/>
          <w:szCs w:val="28"/>
          <w:u w:val="single"/>
          <w:rtl/>
        </w:rPr>
      </w:pPr>
    </w:p>
    <w:p w:rsidR="00520F0E" w:rsidRDefault="00520F0E" w:rsidP="00520F0E">
      <w:pPr>
        <w:bidi/>
        <w:ind w:left="1199"/>
        <w:jc w:val="center"/>
        <w:rPr>
          <w:rFonts w:cs="David"/>
          <w:sz w:val="28"/>
          <w:szCs w:val="28"/>
          <w:u w:val="single"/>
          <w:rtl/>
        </w:rPr>
      </w:pPr>
    </w:p>
    <w:p w:rsidR="00AB655F" w:rsidRDefault="00AB655F">
      <w:pPr>
        <w:pStyle w:val="a3"/>
        <w:jc w:val="both"/>
        <w:rPr>
          <w:szCs w:val="18"/>
        </w:rPr>
      </w:pPr>
    </w:p>
    <w:p w:rsidR="00AB655F" w:rsidRDefault="00AB655F">
      <w:pPr>
        <w:pStyle w:val="a3"/>
        <w:jc w:val="both"/>
        <w:rPr>
          <w:szCs w:val="18"/>
        </w:rPr>
      </w:pPr>
    </w:p>
    <w:p w:rsidR="009618EE" w:rsidRDefault="009618EE" w:rsidP="00520F0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Miriam"/>
          <w:sz w:val="20"/>
          <w:szCs w:val="18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9618EE" w:rsidRDefault="009618EE" w:rsidP="009618EE">
      <w:pPr>
        <w:bidi/>
        <w:rPr>
          <w:rFonts w:cs="David"/>
          <w:rtl/>
          <w:lang w:eastAsia="he-IL"/>
        </w:rPr>
      </w:pPr>
    </w:p>
    <w:p w:rsidR="00520F0E" w:rsidRPr="009618EE" w:rsidRDefault="00520F0E" w:rsidP="006132AE">
      <w:pPr>
        <w:bidi/>
        <w:rPr>
          <w:rFonts w:cs="David"/>
          <w:rtl/>
        </w:rPr>
      </w:pPr>
      <w:r w:rsidRPr="009618EE">
        <w:rPr>
          <w:rFonts w:cs="David" w:hint="cs"/>
          <w:rtl/>
          <w:lang w:eastAsia="he-IL"/>
        </w:rPr>
        <w:t xml:space="preserve">תקנון קרן מצוקה </w:t>
      </w:r>
      <w:r w:rsidR="006132AE">
        <w:rPr>
          <w:rFonts w:cs="David" w:hint="cs"/>
          <w:rtl/>
          <w:lang w:eastAsia="he-IL"/>
        </w:rPr>
        <w:t>2008</w:t>
      </w:r>
      <w:r w:rsidR="009618EE" w:rsidRPr="009618EE">
        <w:rPr>
          <w:rFonts w:cs="David" w:hint="cs"/>
          <w:rtl/>
          <w:lang w:eastAsia="he-IL"/>
        </w:rPr>
        <w:t>/ קרן מצוקה</w:t>
      </w:r>
    </w:p>
    <w:sectPr w:rsidR="00520F0E" w:rsidRPr="009618EE" w:rsidSect="00AB655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0E" w:rsidRDefault="00520F0E">
      <w:r>
        <w:separator/>
      </w:r>
    </w:p>
  </w:endnote>
  <w:endnote w:type="continuationSeparator" w:id="0">
    <w:p w:rsidR="00520F0E" w:rsidRDefault="0052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55F" w:rsidRDefault="006132AE">
    <w:pPr>
      <w:pBdr>
        <w:top w:val="single" w:sz="4" w:space="0" w:color="auto"/>
      </w:pBdr>
      <w:spacing w:line="360" w:lineRule="auto"/>
      <w:jc w:val="center"/>
      <w:rPr>
        <w:sz w:val="22"/>
        <w:szCs w:val="22"/>
      </w:rPr>
    </w:pPr>
    <w:r>
      <w:rPr>
        <w:rFonts w:cs="David"/>
        <w:sz w:val="22"/>
        <w:szCs w:val="22"/>
        <w:rtl/>
      </w:rPr>
      <w:t>הר הכרמל, חיפה 31905</w:t>
    </w:r>
    <w:r>
      <w:rPr>
        <w:sz w:val="22"/>
        <w:szCs w:val="22"/>
        <w:rtl/>
      </w:rPr>
      <w:t xml:space="preserve">, </w:t>
    </w:r>
    <w:r>
      <w:rPr>
        <w:rFonts w:cs="David"/>
        <w:sz w:val="22"/>
        <w:szCs w:val="22"/>
        <w:rtl/>
      </w:rPr>
      <w:t>טל'</w:t>
    </w:r>
    <w:r>
      <w:rPr>
        <w:sz w:val="22"/>
        <w:szCs w:val="22"/>
        <w:rtl/>
      </w:rPr>
      <w:t xml:space="preserve">: </w:t>
    </w:r>
    <w:r>
      <w:rPr>
        <w:sz w:val="22"/>
        <w:szCs w:val="22"/>
      </w:rPr>
      <w:t>Mount Carmel, Haifa 31905, Israel. Phone: 04-8240323</w:t>
    </w:r>
  </w:p>
  <w:p w:rsidR="00AB655F" w:rsidRDefault="006132AE">
    <w:pPr>
      <w:pStyle w:val="a4"/>
      <w:jc w:val="center"/>
    </w:pPr>
    <w:r>
      <w:rPr>
        <w:sz w:val="16"/>
        <w:szCs w:val="16"/>
      </w:rPr>
      <w:t xml:space="preserve"> </w:t>
    </w:r>
    <w:r>
      <w:rPr>
        <w:sz w:val="16"/>
        <w:szCs w:val="16"/>
        <w:rtl/>
      </w:rPr>
      <w:t xml:space="preserve"> פקסימיליה: </w:t>
    </w:r>
    <w:r>
      <w:rPr>
        <w:sz w:val="16"/>
        <w:szCs w:val="16"/>
      </w:rPr>
      <w:t>Fax: 972 4-8249159</w:t>
    </w:r>
  </w:p>
  <w:p w:rsidR="00AB655F" w:rsidRDefault="00AB655F">
    <w:pPr>
      <w:pStyle w:val="a4"/>
      <w:bidi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0E" w:rsidRDefault="00520F0E">
      <w:r>
        <w:separator/>
      </w:r>
    </w:p>
  </w:footnote>
  <w:footnote w:type="continuationSeparator" w:id="0">
    <w:p w:rsidR="00520F0E" w:rsidRDefault="0052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55F" w:rsidRDefault="006132AE">
    <w:pPr>
      <w:pStyle w:val="a3"/>
      <w:jc w:val="both"/>
      <w:rPr>
        <w:szCs w:val="18"/>
        <w:rtl/>
      </w:rPr>
    </w:pPr>
    <w:r>
      <w:rPr>
        <w:noProof/>
        <w:szCs w:val="18"/>
        <w:lang w:eastAsia="en-US"/>
      </w:rPr>
      <w:drawing>
        <wp:inline distT="0" distB="0" distL="0" distR="0">
          <wp:extent cx="571500" cy="342900"/>
          <wp:effectExtent l="1905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655F" w:rsidRDefault="006132AE">
    <w:pPr>
      <w:pStyle w:val="a3"/>
      <w:jc w:val="both"/>
      <w:rPr>
        <w:rFonts w:cs="David"/>
        <w:rtl/>
      </w:rPr>
    </w:pPr>
    <w:r>
      <w:rPr>
        <w:rFonts w:cs="David"/>
        <w:b/>
        <w:bCs/>
        <w:szCs w:val="32"/>
        <w:rtl/>
      </w:rPr>
      <w:t>א</w:t>
    </w:r>
    <w:r>
      <w:rPr>
        <w:rFonts w:cs="David"/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ו</w:t>
    </w:r>
    <w:r>
      <w:rPr>
        <w:rFonts w:cs="David"/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נ</w:t>
    </w:r>
    <w:r>
      <w:rPr>
        <w:rFonts w:cs="David"/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י</w:t>
    </w:r>
    <w:r>
      <w:rPr>
        <w:rFonts w:cs="David"/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ב</w:t>
    </w:r>
    <w:r>
      <w:rPr>
        <w:rFonts w:cs="David"/>
        <w:b/>
        <w:bCs/>
        <w:szCs w:val="28"/>
        <w:rtl/>
      </w:rPr>
      <w:t xml:space="preserve"> </w:t>
    </w:r>
    <w:r>
      <w:rPr>
        <w:rFonts w:cs="David"/>
        <w:b/>
        <w:bCs/>
        <w:szCs w:val="32"/>
        <w:rtl/>
      </w:rPr>
      <w:t>ר</w:t>
    </w:r>
    <w:r>
      <w:rPr>
        <w:rFonts w:cs="David"/>
        <w:b/>
        <w:bCs/>
        <w:szCs w:val="28"/>
        <w:rtl/>
      </w:rPr>
      <w:t xml:space="preserve"> </w:t>
    </w:r>
    <w:r>
      <w:rPr>
        <w:rFonts w:cs="David"/>
        <w:b/>
        <w:bCs/>
        <w:szCs w:val="32"/>
        <w:rtl/>
      </w:rPr>
      <w:t>ס</w:t>
    </w:r>
    <w:r>
      <w:rPr>
        <w:rFonts w:cs="David"/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י</w:t>
    </w:r>
    <w:r>
      <w:rPr>
        <w:rFonts w:cs="David"/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ט</w:t>
    </w:r>
    <w:r>
      <w:rPr>
        <w:rFonts w:cs="David"/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ת  ח</w:t>
    </w:r>
    <w:r>
      <w:rPr>
        <w:rFonts w:cs="David"/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י</w:t>
    </w:r>
    <w:r>
      <w:rPr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פ</w:t>
    </w:r>
    <w:r>
      <w:rPr>
        <w:rFonts w:cs="David"/>
        <w:b/>
        <w:bCs/>
        <w:szCs w:val="16"/>
        <w:rtl/>
      </w:rPr>
      <w:t xml:space="preserve"> </w:t>
    </w:r>
    <w:r>
      <w:rPr>
        <w:rFonts w:cs="David"/>
        <w:b/>
        <w:bCs/>
        <w:szCs w:val="32"/>
        <w:rtl/>
      </w:rPr>
      <w:t>ה</w:t>
    </w:r>
  </w:p>
  <w:p w:rsidR="00AB655F" w:rsidRDefault="006132AE">
    <w:pPr>
      <w:pStyle w:val="a3"/>
      <w:pBdr>
        <w:bottom w:val="single" w:sz="6" w:space="1" w:color="auto"/>
      </w:pBdr>
      <w:rPr>
        <w:b/>
        <w:bCs/>
        <w:rtl/>
      </w:rPr>
    </w:pPr>
    <w:r>
      <w:rPr>
        <w:rFonts w:cs="David"/>
        <w:sz w:val="28"/>
        <w:szCs w:val="28"/>
        <w:rtl/>
      </w:rPr>
      <w:t>ועד  ארגון  הסגל  המנהלי</w:t>
    </w:r>
    <w:r>
      <w:rPr>
        <w:b/>
        <w:bCs/>
        <w:rtl/>
      </w:rPr>
      <w:tab/>
      <w:t xml:space="preserve">                                                          </w:t>
    </w:r>
    <w:r>
      <w:rPr>
        <w:b/>
        <w:bCs/>
        <w:rtl/>
      </w:rPr>
      <w:tab/>
    </w:r>
    <w:r>
      <w:rPr>
        <w:b/>
        <w:bCs/>
        <w:rtl/>
      </w:rPr>
      <w:tab/>
    </w:r>
  </w:p>
  <w:p w:rsidR="00AB655F" w:rsidRDefault="00AB655F">
    <w:pPr>
      <w:pStyle w:val="a3"/>
      <w:rPr>
        <w:rtl/>
      </w:rPr>
    </w:pPr>
  </w:p>
  <w:p w:rsidR="00AB655F" w:rsidRDefault="00AB655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A4B53"/>
    <w:multiLevelType w:val="hybridMultilevel"/>
    <w:tmpl w:val="B6485ECA"/>
    <w:lvl w:ilvl="0" w:tplc="08108A5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0E"/>
    <w:rsid w:val="00520F0E"/>
    <w:rsid w:val="0053081F"/>
    <w:rsid w:val="006132AE"/>
    <w:rsid w:val="00632299"/>
    <w:rsid w:val="009618EE"/>
    <w:rsid w:val="00A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E6C5FA-84D6-4C5E-A33B-905DEB1A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B655F"/>
    <w:pPr>
      <w:tabs>
        <w:tab w:val="center" w:pos="4153"/>
        <w:tab w:val="right" w:pos="8306"/>
      </w:tabs>
      <w:bidi/>
    </w:pPr>
    <w:rPr>
      <w:rFonts w:cs="Miriam"/>
      <w:sz w:val="20"/>
      <w:szCs w:val="20"/>
      <w:lang w:eastAsia="he-IL"/>
    </w:rPr>
  </w:style>
  <w:style w:type="paragraph" w:styleId="a4">
    <w:name w:val="footer"/>
    <w:basedOn w:val="a"/>
    <w:semiHidden/>
    <w:rsid w:val="00AB655F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2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0F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32299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32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2E5D-F0DB-4C99-908E-50EEF609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University of Haifa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מיה עמר</dc:creator>
  <cp:keywords/>
  <dc:description/>
  <cp:lastModifiedBy>מיה עמר</cp:lastModifiedBy>
  <cp:revision>2</cp:revision>
  <dcterms:created xsi:type="dcterms:W3CDTF">2018-03-05T10:40:00Z</dcterms:created>
  <dcterms:modified xsi:type="dcterms:W3CDTF">2018-03-05T10:40:00Z</dcterms:modified>
</cp:coreProperties>
</file>